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BF79" w14:textId="77777777" w:rsidR="0078293B" w:rsidRPr="000117A8" w:rsidRDefault="00623AA3" w:rsidP="00623AA3">
      <w:pPr>
        <w:pBdr>
          <w:top w:val="single" w:sz="4" w:space="1" w:color="auto"/>
          <w:left w:val="single" w:sz="4" w:space="4" w:color="auto"/>
          <w:bottom w:val="single" w:sz="4" w:space="1" w:color="auto"/>
          <w:right w:val="single" w:sz="4" w:space="4" w:color="auto"/>
        </w:pBdr>
        <w:shd w:val="clear" w:color="auto" w:fill="D9D9D9"/>
        <w:jc w:val="center"/>
        <w:rPr>
          <w:rFonts w:ascii="Arial Narrow" w:hAnsi="Arial Narrow"/>
          <w:b/>
          <w:sz w:val="24"/>
          <w:szCs w:val="24"/>
        </w:rPr>
      </w:pPr>
      <w:r>
        <w:rPr>
          <w:rFonts w:ascii="Arial Narrow" w:hAnsi="Arial Narrow"/>
          <w:b/>
          <w:sz w:val="24"/>
          <w:szCs w:val="24"/>
        </w:rPr>
        <w:t>STRUCTURES AND BUILDINGS ALLOWANCE - WRITTEN ALLOWANCE STATEMENT</w:t>
      </w:r>
    </w:p>
    <w:p w14:paraId="6A9D9122" w14:textId="77777777" w:rsidR="00623AA3" w:rsidRDefault="00623AA3" w:rsidP="00623AA3">
      <w:pPr>
        <w:jc w:val="both"/>
        <w:rPr>
          <w:rFonts w:ascii="Arial Narrow" w:hAnsi="Arial Narrow"/>
          <w:sz w:val="24"/>
          <w:szCs w:val="24"/>
        </w:rPr>
      </w:pPr>
      <w:r>
        <w:rPr>
          <w:rFonts w:ascii="Arial Narrow" w:hAnsi="Arial Narrow"/>
          <w:sz w:val="24"/>
          <w:szCs w:val="24"/>
        </w:rPr>
        <w:t>HMRC’s guidance indicates that to claim the structures and buildings allowance you must maintain a “written allowance statement”. There is no statutory form for the statement which means you can keep it in manuscript or digitally (or both). HMRC says:</w:t>
      </w:r>
    </w:p>
    <w:p w14:paraId="39D5C328" w14:textId="77777777" w:rsidR="00623AA3" w:rsidRDefault="00623AA3" w:rsidP="00623AA3">
      <w:pPr>
        <w:jc w:val="both"/>
        <w:rPr>
          <w:rFonts w:ascii="Arial Narrow" w:hAnsi="Arial Narrow"/>
          <w:i/>
          <w:sz w:val="24"/>
          <w:szCs w:val="24"/>
        </w:rPr>
      </w:pPr>
      <w:r>
        <w:rPr>
          <w:rFonts w:ascii="Arial Narrow" w:hAnsi="Arial Narrow"/>
          <w:i/>
          <w:sz w:val="24"/>
          <w:szCs w:val="24"/>
        </w:rPr>
        <w:t>Your allowance statement must include:</w:t>
      </w:r>
    </w:p>
    <w:p w14:paraId="58ACAE65" w14:textId="77777777" w:rsidR="00623AA3" w:rsidRDefault="00623AA3" w:rsidP="00623AA3">
      <w:pPr>
        <w:numPr>
          <w:ilvl w:val="0"/>
          <w:numId w:val="1"/>
        </w:numPr>
        <w:jc w:val="both"/>
        <w:rPr>
          <w:rFonts w:ascii="Arial Narrow" w:hAnsi="Arial Narrow"/>
          <w:i/>
          <w:sz w:val="24"/>
          <w:szCs w:val="24"/>
        </w:rPr>
      </w:pPr>
      <w:r>
        <w:rPr>
          <w:rFonts w:ascii="Arial Narrow" w:hAnsi="Arial Narrow"/>
          <w:i/>
          <w:sz w:val="24"/>
          <w:szCs w:val="24"/>
        </w:rPr>
        <w:t>information to identify the structure, such as address and description</w:t>
      </w:r>
    </w:p>
    <w:p w14:paraId="73AB42DD" w14:textId="77777777" w:rsidR="00623AA3" w:rsidRDefault="00623AA3" w:rsidP="00623AA3">
      <w:pPr>
        <w:numPr>
          <w:ilvl w:val="0"/>
          <w:numId w:val="1"/>
        </w:numPr>
        <w:jc w:val="both"/>
        <w:rPr>
          <w:rFonts w:ascii="Arial Narrow" w:hAnsi="Arial Narrow"/>
          <w:i/>
          <w:sz w:val="24"/>
          <w:szCs w:val="24"/>
        </w:rPr>
      </w:pPr>
      <w:r>
        <w:rPr>
          <w:rFonts w:ascii="Arial Narrow" w:hAnsi="Arial Narrow"/>
          <w:i/>
          <w:sz w:val="24"/>
          <w:szCs w:val="24"/>
        </w:rPr>
        <w:t>the date of the earliest written contract for construction</w:t>
      </w:r>
    </w:p>
    <w:p w14:paraId="0C3100E3" w14:textId="77777777" w:rsidR="00623AA3" w:rsidRDefault="00623AA3" w:rsidP="00623AA3">
      <w:pPr>
        <w:numPr>
          <w:ilvl w:val="0"/>
          <w:numId w:val="1"/>
        </w:numPr>
        <w:jc w:val="both"/>
        <w:rPr>
          <w:rFonts w:ascii="Arial Narrow" w:hAnsi="Arial Narrow"/>
          <w:i/>
          <w:sz w:val="24"/>
          <w:szCs w:val="24"/>
        </w:rPr>
      </w:pPr>
      <w:r>
        <w:rPr>
          <w:rFonts w:ascii="Arial Narrow" w:hAnsi="Arial Narrow"/>
          <w:i/>
          <w:sz w:val="24"/>
          <w:szCs w:val="24"/>
        </w:rPr>
        <w:t>the total qualifying costs</w:t>
      </w:r>
    </w:p>
    <w:p w14:paraId="4EFBCDD2" w14:textId="77777777" w:rsidR="00623AA3" w:rsidRDefault="00623AA3" w:rsidP="00623AA3">
      <w:pPr>
        <w:numPr>
          <w:ilvl w:val="0"/>
          <w:numId w:val="1"/>
        </w:numPr>
        <w:jc w:val="both"/>
        <w:rPr>
          <w:rFonts w:ascii="Arial Narrow" w:hAnsi="Arial Narrow"/>
          <w:i/>
          <w:sz w:val="24"/>
          <w:szCs w:val="24"/>
        </w:rPr>
      </w:pPr>
      <w:r>
        <w:rPr>
          <w:rFonts w:ascii="Arial Narrow" w:hAnsi="Arial Narrow"/>
          <w:i/>
          <w:sz w:val="24"/>
          <w:szCs w:val="24"/>
        </w:rPr>
        <w:t>the date that you started using the structure for a non-residential activit</w:t>
      </w:r>
      <w:r w:rsidR="00BB144E">
        <w:rPr>
          <w:rFonts w:ascii="Arial Narrow" w:hAnsi="Arial Narrow"/>
          <w:i/>
          <w:sz w:val="24"/>
          <w:szCs w:val="24"/>
        </w:rPr>
        <w:t>y.</w:t>
      </w:r>
    </w:p>
    <w:p w14:paraId="2D13C476" w14:textId="77777777" w:rsidR="00623AA3" w:rsidRDefault="00623AA3" w:rsidP="00623AA3">
      <w:pPr>
        <w:jc w:val="both"/>
        <w:rPr>
          <w:rFonts w:ascii="Arial Narrow" w:hAnsi="Arial Narrow"/>
          <w:i/>
          <w:sz w:val="24"/>
          <w:szCs w:val="24"/>
        </w:rPr>
      </w:pPr>
      <w:r>
        <w:rPr>
          <w:rFonts w:ascii="Arial Narrow" w:hAnsi="Arial Narrow"/>
          <w:i/>
          <w:sz w:val="24"/>
          <w:szCs w:val="24"/>
        </w:rPr>
        <w:t>If you buy a used structure, you can only claim the allowance if you get a copy of the allowance statement from a previous owner.</w:t>
      </w:r>
    </w:p>
    <w:p w14:paraId="6A64AE2B" w14:textId="77777777" w:rsidR="00623AA3" w:rsidRDefault="00623AA3" w:rsidP="00623AA3">
      <w:pPr>
        <w:jc w:val="both"/>
        <w:rPr>
          <w:rFonts w:ascii="Arial Narrow" w:hAnsi="Arial Narrow"/>
          <w:i/>
          <w:sz w:val="24"/>
          <w:szCs w:val="24"/>
        </w:rPr>
      </w:pPr>
      <w:r>
        <w:rPr>
          <w:rFonts w:ascii="Arial Narrow" w:hAnsi="Arial Narrow"/>
          <w:i/>
          <w:sz w:val="24"/>
          <w:szCs w:val="24"/>
        </w:rPr>
        <w:t>For any extensions or renovations that were completed after you started using the structure, you can record separate construction costs on the allowance statement or create a new allowance statement.</w:t>
      </w:r>
    </w:p>
    <w:p w14:paraId="337A9684" w14:textId="77777777" w:rsidR="00623AA3" w:rsidRDefault="00623AA3" w:rsidP="00623AA3">
      <w:pPr>
        <w:jc w:val="both"/>
        <w:rPr>
          <w:rFonts w:ascii="Arial Narrow" w:hAnsi="Arial Narrow"/>
          <w:i/>
          <w:sz w:val="24"/>
          <w:szCs w:val="24"/>
        </w:rPr>
      </w:pPr>
      <w:r>
        <w:rPr>
          <w:rFonts w:ascii="Arial Narrow" w:hAnsi="Arial Narrow"/>
          <w:i/>
          <w:sz w:val="24"/>
          <w:szCs w:val="24"/>
        </w:rPr>
        <w:t>You’ll need to keep information about the earliest construction contracts in your records. You can use things like formal contracts, emails or board meeting notes.</w:t>
      </w:r>
    </w:p>
    <w:p w14:paraId="00ED1934" w14:textId="77777777" w:rsidR="0078293B" w:rsidRDefault="0078293B" w:rsidP="0078293B">
      <w:pPr>
        <w:rPr>
          <w:rFonts w:ascii="Arial Narrow" w:hAnsi="Arial Narrow"/>
          <w:sz w:val="24"/>
          <w:szCs w:val="24"/>
        </w:rPr>
      </w:pPr>
    </w:p>
    <w:p w14:paraId="22EC8BCD" w14:textId="77777777" w:rsidR="0078293B" w:rsidRDefault="0078293B"/>
    <w:sectPr w:rsidR="0078293B" w:rsidSect="00D9525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0A7A5" w14:textId="77777777" w:rsidR="0032062D" w:rsidRDefault="0032062D">
      <w:pPr>
        <w:spacing w:after="0" w:line="240" w:lineRule="auto"/>
      </w:pPr>
      <w:r>
        <w:separator/>
      </w:r>
    </w:p>
  </w:endnote>
  <w:endnote w:type="continuationSeparator" w:id="0">
    <w:p w14:paraId="53EC44C7" w14:textId="77777777" w:rsidR="0032062D" w:rsidRDefault="00320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C287" w14:textId="77777777" w:rsidR="00D20071" w:rsidRDefault="00D20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7454" w14:textId="68C6BB26" w:rsidR="00D95251" w:rsidRDefault="00A36482">
    <w:pPr>
      <w:pStyle w:val="Footer"/>
      <w:ind w:left="113"/>
      <w:rPr>
        <w:rFonts w:ascii="Tahoma" w:hAnsi="Tahoma" w:cs="Tahoma"/>
        <w:noProof/>
        <w:color w:val="808080"/>
        <w:spacing w:val="6"/>
        <w:sz w:val="16"/>
        <w:szCs w:val="16"/>
      </w:rPr>
    </w:pPr>
    <w:r>
      <w:rPr>
        <w:noProof/>
      </w:rPr>
      <w:drawing>
        <wp:anchor distT="0" distB="0" distL="114300" distR="114300" simplePos="0" relativeHeight="251657728" behindDoc="0" locked="0" layoutInCell="1" allowOverlap="1" wp14:anchorId="5793D8FF" wp14:editId="70B8489E">
          <wp:simplePos x="0" y="0"/>
          <wp:positionH relativeFrom="column">
            <wp:posOffset>-685800</wp:posOffset>
          </wp:positionH>
          <wp:positionV relativeFrom="paragraph">
            <wp:posOffset>87630</wp:posOffset>
          </wp:positionV>
          <wp:extent cx="546735" cy="647700"/>
          <wp:effectExtent l="0" t="0" r="0" b="0"/>
          <wp:wrapNone/>
          <wp:docPr id="5" name="Picture 2" descr="penpuntgr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puntgri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73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5DF88FD1" wp14:editId="13CC960F">
              <wp:simplePos x="0" y="0"/>
              <wp:positionH relativeFrom="column">
                <wp:posOffset>0</wp:posOffset>
              </wp:positionH>
              <wp:positionV relativeFrom="paragraph">
                <wp:posOffset>87630</wp:posOffset>
              </wp:positionV>
              <wp:extent cx="5989320" cy="8255"/>
              <wp:effectExtent l="0" t="0" r="1143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9320" cy="8255"/>
                      </a:xfrm>
                      <a:prstGeom prst="line">
                        <a:avLst/>
                      </a:prstGeom>
                      <a:noFill/>
                      <a:ln w="190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DB262"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471.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" strokecolor="silver" strokeweight="1.5pt"/>
          </w:pict>
        </mc:Fallback>
      </mc:AlternateContent>
    </w:r>
    <w:r w:rsidR="00D95251">
      <w:rPr>
        <w:rFonts w:ascii="Tahoma" w:hAnsi="Tahoma" w:cs="Tahoma"/>
        <w:noProof/>
        <w:color w:val="808080"/>
        <w:spacing w:val="6"/>
        <w:sz w:val="16"/>
        <w:szCs w:val="16"/>
      </w:rPr>
      <w:br/>
    </w:r>
  </w:p>
  <w:p w14:paraId="0CB7ADD5" w14:textId="77777777" w:rsidR="00D95251" w:rsidRDefault="00D95251">
    <w:pPr>
      <w:pStyle w:val="Footer"/>
      <w:rPr>
        <w:rFonts w:ascii="Arial Narrow" w:hAnsi="Arial Narrow"/>
        <w:color w:val="808080"/>
        <w:sz w:val="14"/>
        <w:szCs w:val="14"/>
      </w:rPr>
    </w:pPr>
    <w:r>
      <w:rPr>
        <w:rFonts w:ascii="Arial Narrow" w:hAnsi="Arial Narrow"/>
        <w:color w:val="808080"/>
        <w:sz w:val="14"/>
        <w:szCs w:val="14"/>
      </w:rPr>
      <w:t>Every effort has been made by Indicator - FL Memo Limited to ensure that the information given is accurate and not misleading, but Indicator Limited cannot accept responsibility for any loss or liability perceived to have arisen from the use of any such information. Only Acts of Parliament and Statutory Instruments have the force of law and only the courts can authoritatively interpret the law.</w:t>
    </w:r>
  </w:p>
  <w:p w14:paraId="7D948CC2" w14:textId="77777777" w:rsidR="00D95251" w:rsidRDefault="00D95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6754" w14:textId="77777777" w:rsidR="00D20071" w:rsidRDefault="00D20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A901C" w14:textId="77777777" w:rsidR="0032062D" w:rsidRDefault="0032062D">
      <w:pPr>
        <w:spacing w:after="0" w:line="240" w:lineRule="auto"/>
      </w:pPr>
      <w:r>
        <w:separator/>
      </w:r>
    </w:p>
  </w:footnote>
  <w:footnote w:type="continuationSeparator" w:id="0">
    <w:p w14:paraId="12AF131C" w14:textId="77777777" w:rsidR="0032062D" w:rsidRDefault="00320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7912" w14:textId="77777777" w:rsidR="00D20071" w:rsidRDefault="00D20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67AC" w14:textId="63383956" w:rsidR="00D20071" w:rsidRDefault="00A36482" w:rsidP="00D20071">
    <w:pPr>
      <w:pStyle w:val="Header"/>
    </w:pPr>
    <w:r>
      <w:rPr>
        <w:noProof/>
      </w:rPr>
      <mc:AlternateContent>
        <mc:Choice Requires="wps">
          <w:drawing>
            <wp:anchor distT="0" distB="0" distL="114300" distR="114300" simplePos="0" relativeHeight="251656704" behindDoc="0" locked="0" layoutInCell="1" allowOverlap="1" wp14:anchorId="7D5F9995" wp14:editId="7DA94E92">
              <wp:simplePos x="0" y="0"/>
              <wp:positionH relativeFrom="column">
                <wp:posOffset>-16510</wp:posOffset>
              </wp:positionH>
              <wp:positionV relativeFrom="paragraph">
                <wp:posOffset>280035</wp:posOffset>
              </wp:positionV>
              <wp:extent cx="6019800" cy="8255"/>
              <wp:effectExtent l="0" t="0" r="0" b="1079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8255"/>
                      </a:xfrm>
                      <a:prstGeom prst="line">
                        <a:avLst/>
                      </a:prstGeom>
                      <a:noFill/>
                      <a:ln w="190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B55E7" id="Straight Connector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2.05pt" to="47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" strokecolor="silver" strokeweight="1.5pt"/>
          </w:pict>
        </mc:Fallback>
      </mc:AlternateContent>
    </w:r>
    <w:r w:rsidR="00D20071">
      <w:rPr>
        <w:rFonts w:ascii="Arial Narrow" w:hAnsi="Arial Narrow"/>
        <w:b/>
        <w:bCs/>
        <w:color w:val="808080"/>
        <w:sz w:val="14"/>
        <w:szCs w:val="14"/>
      </w:rPr>
      <w:t xml:space="preserve">© Copyright Indicator - FL Memo Limited. </w:t>
    </w:r>
    <w:r w:rsidR="00D20071">
      <w:rPr>
        <w:rFonts w:ascii="Arial Narrow" w:hAnsi="Arial Narrow"/>
        <w:color w:val="808080"/>
        <w:sz w:val="14"/>
        <w:szCs w:val="14"/>
      </w:rPr>
      <w:t>This material is solely and exclusively for the use of paying subscribers. It may only be used in the furtherance of the subscriber's business and may not be sold, hired, copied or used for any other commercial purpose etc. without the prior written consent of Indicator - FL Memo Limited. Every effort has been made to ensure that the information given is accurate and not misleading, but Indicator Limited cannot accept responsibility for any loss or liability perceived to have arisen from the use of any such information. Only Acts of Parliament and Statutory Instruments have the force of law and only the courts can authoritatively interpret the law.</w:t>
    </w:r>
  </w:p>
  <w:p w14:paraId="19F30841" w14:textId="77777777" w:rsidR="00D95251" w:rsidRDefault="00D95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BE64" w14:textId="77777777" w:rsidR="00D20071" w:rsidRDefault="00D20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460C"/>
    <w:multiLevelType w:val="hybridMultilevel"/>
    <w:tmpl w:val="22E29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3377469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A3"/>
    <w:rsid w:val="000F35AB"/>
    <w:rsid w:val="001F33A3"/>
    <w:rsid w:val="0032062D"/>
    <w:rsid w:val="00623AA3"/>
    <w:rsid w:val="0078293B"/>
    <w:rsid w:val="00A36482"/>
    <w:rsid w:val="00A637B1"/>
    <w:rsid w:val="00BB144E"/>
    <w:rsid w:val="00D20071"/>
    <w:rsid w:val="00D95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4FF4"/>
  <w15:chartTrackingRefBased/>
  <w15:docId w15:val="{66800E3F-8CC3-4695-84A6-7E660883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AA3"/>
    <w:pPr>
      <w:spacing w:after="160" w:line="25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8293B"/>
    <w:pPr>
      <w:tabs>
        <w:tab w:val="center" w:pos="4536"/>
        <w:tab w:val="right" w:pos="9072"/>
      </w:tabs>
      <w:spacing w:after="0" w:line="240" w:lineRule="auto"/>
    </w:pPr>
  </w:style>
  <w:style w:type="character" w:customStyle="1" w:styleId="HeaderChar">
    <w:name w:val="Header Char"/>
    <w:link w:val="Header"/>
    <w:rsid w:val="0078293B"/>
    <w:rPr>
      <w:rFonts w:ascii="Calibri" w:eastAsia="Calibri" w:hAnsi="Calibri" w:cs="Times New Roman"/>
    </w:rPr>
  </w:style>
  <w:style w:type="paragraph" w:styleId="Footer">
    <w:name w:val="footer"/>
    <w:basedOn w:val="Normal"/>
    <w:link w:val="FooterChar"/>
    <w:unhideWhenUsed/>
    <w:rsid w:val="0078293B"/>
    <w:pPr>
      <w:tabs>
        <w:tab w:val="center" w:pos="4536"/>
        <w:tab w:val="right" w:pos="9072"/>
      </w:tabs>
      <w:spacing w:after="0" w:line="240" w:lineRule="auto"/>
    </w:pPr>
  </w:style>
  <w:style w:type="character" w:customStyle="1" w:styleId="FooterChar">
    <w:name w:val="Footer Char"/>
    <w:link w:val="Footer"/>
    <w:rsid w:val="007829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3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yc\OneDrive\Documents\Custom%20Office%20Templates\Next%20st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Next step.dot</Template>
  <TotalTime>0</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Court</dc:creator>
  <cp:keywords/>
  <dc:description/>
  <cp:lastModifiedBy>Duncan CALLOW</cp:lastModifiedBy>
  <cp:revision>2</cp:revision>
  <dcterms:created xsi:type="dcterms:W3CDTF">2023-09-05T14:56:00Z</dcterms:created>
  <dcterms:modified xsi:type="dcterms:W3CDTF">2023-09-05T14:56:00Z</dcterms:modified>
</cp:coreProperties>
</file>